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737" w:rsidRPr="00483737" w:rsidRDefault="00483737" w:rsidP="00483737">
      <w:pPr>
        <w:pStyle w:val="-0"/>
        <w:numPr>
          <w:ilvl w:val="0"/>
          <w:numId w:val="0"/>
        </w:numPr>
        <w:ind w:firstLine="709"/>
        <w:rPr>
          <w:b/>
        </w:rPr>
      </w:pPr>
      <w:r w:rsidRPr="00483737">
        <w:rPr>
          <w:b/>
        </w:rPr>
        <w:t>Тема 2.</w:t>
      </w:r>
      <w:r>
        <w:rPr>
          <w:b/>
        </w:rPr>
        <w:t>3</w:t>
      </w:r>
      <w:bookmarkStart w:id="0" w:name="_GoBack"/>
      <w:bookmarkEnd w:id="0"/>
      <w:r w:rsidRPr="00483737">
        <w:rPr>
          <w:b/>
        </w:rPr>
        <w:t xml:space="preserve"> Спелости леса. Классификация спелостей леса. Естественная, </w:t>
      </w:r>
      <w:proofErr w:type="spellStart"/>
      <w:r w:rsidRPr="00483737">
        <w:rPr>
          <w:b/>
        </w:rPr>
        <w:t>возобновительная</w:t>
      </w:r>
      <w:proofErr w:type="spellEnd"/>
      <w:r w:rsidRPr="00483737">
        <w:rPr>
          <w:b/>
        </w:rPr>
        <w:t xml:space="preserve"> и количественная спелости леса</w:t>
      </w:r>
    </w:p>
    <w:p w:rsidR="00483737" w:rsidRDefault="00483737" w:rsidP="00483737">
      <w:pPr>
        <w:pStyle w:val="-0"/>
        <w:numPr>
          <w:ilvl w:val="0"/>
          <w:numId w:val="0"/>
        </w:numPr>
        <w:tabs>
          <w:tab w:val="left" w:pos="709"/>
        </w:tabs>
        <w:ind w:firstLine="709"/>
      </w:pPr>
      <w:r w:rsidRPr="00483737">
        <w:t xml:space="preserve"> Спелости леса в лесном хозяйстве. Определение спелости, ее значение в организации лесного хозяйства. Классификация спелостей. Естественная и </w:t>
      </w:r>
      <w:proofErr w:type="spellStart"/>
      <w:r w:rsidRPr="00483737">
        <w:t>возобновительная</w:t>
      </w:r>
      <w:proofErr w:type="spellEnd"/>
      <w:r w:rsidRPr="00483737">
        <w:t xml:space="preserve"> спелость, их возраста и значение для организации лесного хозяйства. Количественная спелость. Возраста количественной спелости. Методы определения количественной спелости. Значение количественной спелости для организации лесного хозяйства.</w:t>
      </w:r>
    </w:p>
    <w:p w:rsidR="00483737" w:rsidRDefault="00483737" w:rsidP="00483737">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83737" w:rsidRPr="00483737" w:rsidRDefault="00483737" w:rsidP="00483737">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83737">
        <w:rPr>
          <w:rFonts w:ascii="Times New Roman" w:eastAsia="Times New Roman" w:hAnsi="Times New Roman" w:cs="Times New Roman"/>
          <w:sz w:val="24"/>
          <w:szCs w:val="24"/>
          <w:lang w:eastAsia="ru-RU"/>
        </w:rPr>
        <w:t xml:space="preserve">1 Определение спелости, ее значение в организации лесного хозяйства  </w:t>
      </w:r>
    </w:p>
    <w:p w:rsidR="00483737" w:rsidRPr="00483737" w:rsidRDefault="00483737" w:rsidP="00483737">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83737">
        <w:rPr>
          <w:rFonts w:ascii="Times New Roman" w:eastAsia="Times New Roman" w:hAnsi="Times New Roman" w:cs="Times New Roman"/>
          <w:sz w:val="24"/>
          <w:szCs w:val="24"/>
          <w:lang w:eastAsia="ru-RU"/>
        </w:rPr>
        <w:t>2  Естественная спелость, возраст и значение</w:t>
      </w:r>
      <w:r w:rsidRPr="00483737">
        <w:rPr>
          <w:rFonts w:ascii="Times New Roman" w:eastAsia="Times New Roman" w:hAnsi="Times New Roman" w:cs="Times New Roman"/>
          <w:iCs/>
          <w:sz w:val="24"/>
          <w:szCs w:val="24"/>
          <w:lang w:eastAsia="ru-RU"/>
        </w:rPr>
        <w:t>.</w:t>
      </w:r>
    </w:p>
    <w:p w:rsidR="00483737" w:rsidRPr="00483737" w:rsidRDefault="00483737" w:rsidP="00483737">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83737">
        <w:rPr>
          <w:rFonts w:ascii="Times New Roman" w:eastAsia="Times New Roman" w:hAnsi="Times New Roman" w:cs="Times New Roman"/>
          <w:sz w:val="24"/>
          <w:szCs w:val="24"/>
          <w:lang w:eastAsia="ru-RU"/>
        </w:rPr>
        <w:t xml:space="preserve">3 Возобновительная </w:t>
      </w:r>
      <w:r w:rsidRPr="00483737">
        <w:rPr>
          <w:rFonts w:ascii="Times New Roman" w:eastAsia="Times New Roman" w:hAnsi="Times New Roman" w:cs="Times New Roman"/>
          <w:bCs/>
          <w:sz w:val="24"/>
          <w:szCs w:val="24"/>
          <w:lang w:eastAsia="ru-RU"/>
        </w:rPr>
        <w:t>спелость, возраст, значение и методы определения.</w:t>
      </w:r>
    </w:p>
    <w:p w:rsidR="00483737" w:rsidRPr="00483737" w:rsidRDefault="00483737" w:rsidP="00483737">
      <w:pPr>
        <w:pStyle w:val="-0"/>
        <w:numPr>
          <w:ilvl w:val="0"/>
          <w:numId w:val="0"/>
        </w:numPr>
        <w:tabs>
          <w:tab w:val="left" w:pos="709"/>
        </w:tabs>
        <w:contextualSpacing/>
      </w:pPr>
      <w:r w:rsidRPr="00483737">
        <w:rPr>
          <w:bCs/>
          <w:sz w:val="24"/>
          <w:szCs w:val="24"/>
        </w:rPr>
        <w:t>4 Количественная спелость, возраст, значение и методы определения.</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Лесное хозяйство по своей экономической сущности наиболее близко к сельскому хозяйству, оно также занимается выращиванием растительных продуктов. По аналогии с сельским хозяйством в лесном хозяйстве спелостью леса называют такое состояние выращиваемого продукта, в котором он в наибольшей степени удовлетворяет предъявляемые к нему требования. В лесном хозяйстве понятие «спелость» может быть применено к отдельным деревьям и к насаждению, взятому в целом.</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Спелость дерева и насаждения наступают в разные сроки. В обоих случаях она тесно связана с возрастом. Соответственно этому конечным итогом изучения вопроса о спелости леса является установление возраста дерева. Объектом лесохозяйственной деятельности обычно являются насаждения и значительно реже отдельные деревья. Поэтому последующий анализ и выводы о спелости леса относятся к насаждениям (древостоям).</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За длительный период развития лесохозяйственной теории внесено немало разного рода предложений по установлению возрастов спелости леса.</w:t>
      </w:r>
    </w:p>
    <w:p w:rsidR="00483737" w:rsidRPr="00483737" w:rsidRDefault="00483737" w:rsidP="00483737">
      <w:pPr>
        <w:spacing w:line="240" w:lineRule="auto"/>
        <w:ind w:firstLine="567"/>
        <w:contextualSpacing/>
        <w:jc w:val="both"/>
        <w:rPr>
          <w:rFonts w:ascii="Times New Roman" w:hAnsi="Times New Roman" w:cs="Times New Roman"/>
          <w:b/>
          <w:sz w:val="28"/>
          <w:szCs w:val="28"/>
        </w:rPr>
      </w:pPr>
      <w:r w:rsidRPr="00483737">
        <w:rPr>
          <w:rFonts w:ascii="Times New Roman" w:hAnsi="Times New Roman" w:cs="Times New Roman"/>
          <w:b/>
          <w:sz w:val="28"/>
          <w:szCs w:val="28"/>
        </w:rPr>
        <w:t>Естественная спелость.</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Возраст, в котором дерево или насаждение переходит в стадию отмирания, называется </w:t>
      </w:r>
      <w:r w:rsidRPr="00483737">
        <w:rPr>
          <w:rFonts w:ascii="Times New Roman" w:hAnsi="Times New Roman" w:cs="Times New Roman"/>
          <w:sz w:val="28"/>
          <w:szCs w:val="28"/>
          <w:u w:val="single"/>
        </w:rPr>
        <w:t>возрастом естественной спелости.</w:t>
      </w:r>
      <w:r w:rsidRPr="00483737">
        <w:rPr>
          <w:rFonts w:ascii="Times New Roman" w:hAnsi="Times New Roman" w:cs="Times New Roman"/>
          <w:sz w:val="28"/>
          <w:szCs w:val="28"/>
        </w:rPr>
        <w:t xml:space="preserve"> Этот возраст весьма изменчив, его трудно определить. Признаками наступления естественной спелости отдельных деревьев считают прекращение роста в высоту, приобретение кроной зонтообразной формы, наличие </w:t>
      </w:r>
      <w:proofErr w:type="spellStart"/>
      <w:r w:rsidRPr="00483737">
        <w:rPr>
          <w:rFonts w:ascii="Times New Roman" w:hAnsi="Times New Roman" w:cs="Times New Roman"/>
          <w:sz w:val="28"/>
          <w:szCs w:val="28"/>
        </w:rPr>
        <w:t>суховершинности</w:t>
      </w:r>
      <w:proofErr w:type="spellEnd"/>
      <w:r w:rsidRPr="00483737">
        <w:rPr>
          <w:rFonts w:ascii="Times New Roman" w:hAnsi="Times New Roman" w:cs="Times New Roman"/>
          <w:sz w:val="28"/>
          <w:szCs w:val="28"/>
        </w:rPr>
        <w:t>, болезненное состояние, развитие гнили и пр.</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Отдельные деревья достигают возраста естественной спелости позднее, чем насаждение в целом. Наступление возраста естественной спелости зависит от древесной породы, условий местопроизрастания, происхождения дерева или насаждения (семенное или порослевое) и его состояния.</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У быстрорастущих пород порослевого происхождения при неблагоприятных условиях местопроизрастания возраст естественной спелости наступает рано, у осины, например, в 40 лет. Береза и ольха черная достигают естественной спелости обычно в возрасте около 100лет. У </w:t>
      </w:r>
      <w:r w:rsidRPr="00483737">
        <w:rPr>
          <w:rFonts w:ascii="Times New Roman" w:hAnsi="Times New Roman" w:cs="Times New Roman"/>
          <w:sz w:val="28"/>
          <w:szCs w:val="28"/>
        </w:rPr>
        <w:lastRenderedPageBreak/>
        <w:t>отдельных деревьев сосны и ели возраст естественной спелости наступает в 300-350 лет, а у насаждений в целом в 200-250 лет. Возраст естественной спелости отдельных деревьев дуба – 400 лет и более, дубовых семенных насаждений 200-300 лет, порослевых, поврежденных в результате пастьбы скота и произрастающих на мелких бедных почвах, - 60-80 лет.</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Началом периода естественной спелости насаждения надо считать появление большого количества сухостойных или поврежденных главным образом сердцевинной гнилью деревьев, сильную изреженность насаждения. Такие участки называют рединами. Чтобы площадь не оставалась бесполезной, редины обычно назначают в рубку по особому расчету. Редины вырубают еще и потому, что у деревьев обрываются корни от раскачивания ветром, они болеют и подвергаются нападению вредных насекомых.</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Устанавливать возраст естественной спелости леса очень важно для лесного хозяйства, так как определяют высший предел, после которого насаждения нецелесообразно оставлять на корню.</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Особое значение естественная спелость имеет для паркового хозяйства, в задачу которого входит сохранение отдельных деревьев и целых насаждений до такого возраста, в котором они не портят ландшафта и отвечают требованиям паркового хозяйства. Когда деревья или насаждения начинают отмирать, т.е. наступает их естественная спелость, они уже не отвечают требования паркового хозяйства, следовательно, подлежат вырубке и замене следующим поколением леса.</w:t>
      </w:r>
    </w:p>
    <w:p w:rsidR="00483737" w:rsidRPr="00483737" w:rsidRDefault="00483737" w:rsidP="00483737">
      <w:pPr>
        <w:spacing w:line="240" w:lineRule="auto"/>
        <w:ind w:firstLine="567"/>
        <w:contextualSpacing/>
        <w:jc w:val="both"/>
        <w:rPr>
          <w:rFonts w:ascii="Times New Roman" w:hAnsi="Times New Roman" w:cs="Times New Roman"/>
          <w:b/>
          <w:sz w:val="28"/>
          <w:szCs w:val="28"/>
        </w:rPr>
      </w:pPr>
      <w:r w:rsidRPr="00483737">
        <w:rPr>
          <w:rFonts w:ascii="Times New Roman" w:hAnsi="Times New Roman" w:cs="Times New Roman"/>
          <w:b/>
          <w:sz w:val="28"/>
          <w:szCs w:val="28"/>
        </w:rPr>
        <w:t>Возобновительная спелость</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Возобновительной спелостью называют такое состояние отдельных деревьев  и древостоев, взятых в целом, при котором они обеспечивают  наилучшее естественное возобновление – семенное или порослевое.</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У отдельных деревьев семенная </w:t>
      </w:r>
      <w:proofErr w:type="spellStart"/>
      <w:r w:rsidRPr="00483737">
        <w:rPr>
          <w:rFonts w:ascii="Times New Roman" w:hAnsi="Times New Roman" w:cs="Times New Roman"/>
          <w:sz w:val="28"/>
          <w:szCs w:val="28"/>
        </w:rPr>
        <w:t>возобновительная</w:t>
      </w:r>
      <w:proofErr w:type="spellEnd"/>
      <w:r w:rsidRPr="00483737">
        <w:rPr>
          <w:rFonts w:ascii="Times New Roman" w:hAnsi="Times New Roman" w:cs="Times New Roman"/>
          <w:sz w:val="28"/>
          <w:szCs w:val="28"/>
        </w:rPr>
        <w:t xml:space="preserve"> спелость наступает раньше, чем у всей совокупности деревьев, образующих древостой. Вместе с этим она зависит от происхождения леса (семенное или порослевое), затем от древесной породы, условий местопроизрастания, состояния древостоев и степени их сомкнутости. Порослевые древостои, произрастающие в неблагоприятных условиях, </w:t>
      </w:r>
      <w:proofErr w:type="spellStart"/>
      <w:r w:rsidRPr="00483737">
        <w:rPr>
          <w:rFonts w:ascii="Times New Roman" w:hAnsi="Times New Roman" w:cs="Times New Roman"/>
          <w:sz w:val="28"/>
          <w:szCs w:val="28"/>
        </w:rPr>
        <w:t>низкополнотные</w:t>
      </w:r>
      <w:proofErr w:type="spellEnd"/>
      <w:r w:rsidRPr="00483737">
        <w:rPr>
          <w:rFonts w:ascii="Times New Roman" w:hAnsi="Times New Roman" w:cs="Times New Roman"/>
          <w:sz w:val="28"/>
          <w:szCs w:val="28"/>
        </w:rPr>
        <w:t xml:space="preserve"> и пораженные болезнями, достигают возобновительной спелости леса раньше, чем семенные сомкнутые здоровые древостои, растущие в благоприятных условиях. При наличии большого варьирования возрастов возобновительной спелости она может быть характеризована следующими усредненными данными. Табл. 1.</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Примерные возрасты возобновительной и естественной спелости лесообразующих древесных видов, лет</w:t>
      </w:r>
    </w:p>
    <w:tbl>
      <w:tblPr>
        <w:tblStyle w:val="a3"/>
        <w:tblW w:w="0" w:type="auto"/>
        <w:tblLayout w:type="fixed"/>
        <w:tblLook w:val="04A0" w:firstRow="1" w:lastRow="0" w:firstColumn="1" w:lastColumn="0" w:noHBand="0" w:noVBand="1"/>
      </w:tblPr>
      <w:tblGrid>
        <w:gridCol w:w="2235"/>
        <w:gridCol w:w="1701"/>
        <w:gridCol w:w="1701"/>
        <w:gridCol w:w="1701"/>
        <w:gridCol w:w="2233"/>
      </w:tblGrid>
      <w:tr w:rsidR="00483737" w:rsidRPr="00483737" w:rsidTr="00033EC2">
        <w:tc>
          <w:tcPr>
            <w:tcW w:w="2235" w:type="dxa"/>
            <w:vMerge w:val="restar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Древесный вид</w:t>
            </w:r>
          </w:p>
        </w:tc>
        <w:tc>
          <w:tcPr>
            <w:tcW w:w="3402" w:type="dxa"/>
            <w:gridSpan w:val="2"/>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Возобновительная спелость</w:t>
            </w:r>
          </w:p>
        </w:tc>
        <w:tc>
          <w:tcPr>
            <w:tcW w:w="3934" w:type="dxa"/>
            <w:gridSpan w:val="2"/>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Естественная спелость</w:t>
            </w:r>
          </w:p>
        </w:tc>
      </w:tr>
      <w:tr w:rsidR="00483737" w:rsidRPr="00483737" w:rsidTr="00033EC2">
        <w:tc>
          <w:tcPr>
            <w:tcW w:w="2235" w:type="dxa"/>
            <w:vMerge/>
          </w:tcPr>
          <w:p w:rsidR="00483737" w:rsidRPr="00483737" w:rsidRDefault="00483737" w:rsidP="00033EC2">
            <w:pPr>
              <w:contextualSpacing/>
              <w:jc w:val="both"/>
              <w:rPr>
                <w:rFonts w:ascii="Times New Roman" w:hAnsi="Times New Roman" w:cs="Times New Roman"/>
                <w:sz w:val="28"/>
                <w:szCs w:val="28"/>
              </w:rPr>
            </w:pP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семенная</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порослевая</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для целого древостоя</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для отдельного дерева</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Сосна</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35-50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150-160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250-300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Ель</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45-60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140-150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200-250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Лиственница</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30-40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200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350-400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lastRenderedPageBreak/>
              <w:t>Кедр</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50-60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240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350-400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Дуб семенной</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50-60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60-80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200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350-400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Дуб </w:t>
            </w:r>
            <w:proofErr w:type="gramStart"/>
            <w:r w:rsidRPr="00483737">
              <w:rPr>
                <w:rFonts w:ascii="Times New Roman" w:hAnsi="Times New Roman" w:cs="Times New Roman"/>
                <w:sz w:val="28"/>
                <w:szCs w:val="28"/>
              </w:rPr>
              <w:t>порослевой</w:t>
            </w:r>
            <w:proofErr w:type="gramEnd"/>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55-65</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140-160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120-150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Граб</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100-130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130-150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Ясень</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40-50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70-80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200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Клен</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100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Береза</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25-35</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50-60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110-120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150-200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Осина </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20-30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50-70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70-100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100-120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Ольха черная</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30-40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50-60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80-90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Липа</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25-35</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60-80</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130-150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200-250</w:t>
            </w:r>
          </w:p>
        </w:tc>
      </w:tr>
      <w:tr w:rsidR="00483737" w:rsidRPr="00483737" w:rsidTr="00033EC2">
        <w:tc>
          <w:tcPr>
            <w:tcW w:w="2235" w:type="dxa"/>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Осокорь</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c>
          <w:tcPr>
            <w:tcW w:w="1701"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60-80</w:t>
            </w:r>
          </w:p>
        </w:tc>
        <w:tc>
          <w:tcPr>
            <w:tcW w:w="2233" w:type="dxa"/>
          </w:tcPr>
          <w:p w:rsidR="00483737" w:rsidRPr="00483737" w:rsidRDefault="00483737" w:rsidP="00033EC2">
            <w:pPr>
              <w:contextualSpacing/>
              <w:jc w:val="center"/>
              <w:rPr>
                <w:rFonts w:ascii="Times New Roman" w:hAnsi="Times New Roman" w:cs="Times New Roman"/>
                <w:sz w:val="28"/>
                <w:szCs w:val="28"/>
              </w:rPr>
            </w:pPr>
            <w:r w:rsidRPr="00483737">
              <w:rPr>
                <w:rFonts w:ascii="Times New Roman" w:hAnsi="Times New Roman" w:cs="Times New Roman"/>
                <w:sz w:val="28"/>
                <w:szCs w:val="28"/>
              </w:rPr>
              <w:t>-</w:t>
            </w:r>
          </w:p>
        </w:tc>
      </w:tr>
    </w:tbl>
    <w:p w:rsidR="00483737" w:rsidRPr="00483737" w:rsidRDefault="00483737" w:rsidP="00483737">
      <w:pPr>
        <w:spacing w:line="240" w:lineRule="auto"/>
        <w:ind w:firstLine="567"/>
        <w:contextualSpacing/>
        <w:jc w:val="center"/>
        <w:rPr>
          <w:rFonts w:ascii="Times New Roman" w:hAnsi="Times New Roman" w:cs="Times New Roman"/>
          <w:sz w:val="28"/>
          <w:szCs w:val="28"/>
        </w:rPr>
      </w:pP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Из таблицы видно, что семенная </w:t>
      </w:r>
      <w:proofErr w:type="spellStart"/>
      <w:r w:rsidRPr="00483737">
        <w:rPr>
          <w:rFonts w:ascii="Times New Roman" w:hAnsi="Times New Roman" w:cs="Times New Roman"/>
          <w:sz w:val="28"/>
          <w:szCs w:val="28"/>
        </w:rPr>
        <w:t>возобновительная</w:t>
      </w:r>
      <w:proofErr w:type="spellEnd"/>
      <w:r w:rsidRPr="00483737">
        <w:rPr>
          <w:rFonts w:ascii="Times New Roman" w:hAnsi="Times New Roman" w:cs="Times New Roman"/>
          <w:sz w:val="28"/>
          <w:szCs w:val="28"/>
        </w:rPr>
        <w:t xml:space="preserve"> спелость раньше всего (в 30-40 лет) наступает у лиственницы и </w:t>
      </w:r>
      <w:proofErr w:type="spellStart"/>
      <w:r w:rsidRPr="00483737">
        <w:rPr>
          <w:rFonts w:ascii="Times New Roman" w:hAnsi="Times New Roman" w:cs="Times New Roman"/>
          <w:sz w:val="28"/>
          <w:szCs w:val="28"/>
        </w:rPr>
        <w:t>мягколиственных</w:t>
      </w:r>
      <w:proofErr w:type="spellEnd"/>
      <w:r w:rsidRPr="00483737">
        <w:rPr>
          <w:rFonts w:ascii="Times New Roman" w:hAnsi="Times New Roman" w:cs="Times New Roman"/>
          <w:sz w:val="28"/>
          <w:szCs w:val="28"/>
        </w:rPr>
        <w:t xml:space="preserve"> пород (березы, осины, липы); сосна, кедр и семенной ясень возобновительной спелости достигают в 35-60 лет, т.е. в возрасте почти в два раза больше, чем </w:t>
      </w:r>
      <w:proofErr w:type="spellStart"/>
      <w:r w:rsidRPr="00483737">
        <w:rPr>
          <w:rFonts w:ascii="Times New Roman" w:hAnsi="Times New Roman" w:cs="Times New Roman"/>
          <w:sz w:val="28"/>
          <w:szCs w:val="28"/>
        </w:rPr>
        <w:t>мягколиственные</w:t>
      </w:r>
      <w:proofErr w:type="spellEnd"/>
      <w:r w:rsidRPr="00483737">
        <w:rPr>
          <w:rFonts w:ascii="Times New Roman" w:hAnsi="Times New Roman" w:cs="Times New Roman"/>
          <w:sz w:val="28"/>
          <w:szCs w:val="28"/>
        </w:rPr>
        <w:t xml:space="preserve"> породы. Ель, семенной дуб возобновительной спелости достигают в более высоком возрасте (50-60 лет). У порослевых здоровых нерасстроенных древостоев </w:t>
      </w:r>
      <w:proofErr w:type="spellStart"/>
      <w:r w:rsidRPr="00483737">
        <w:rPr>
          <w:rFonts w:ascii="Times New Roman" w:hAnsi="Times New Roman" w:cs="Times New Roman"/>
          <w:sz w:val="28"/>
          <w:szCs w:val="28"/>
        </w:rPr>
        <w:t>возобновительная</w:t>
      </w:r>
      <w:proofErr w:type="spellEnd"/>
      <w:r w:rsidRPr="00483737">
        <w:rPr>
          <w:rFonts w:ascii="Times New Roman" w:hAnsi="Times New Roman" w:cs="Times New Roman"/>
          <w:sz w:val="28"/>
          <w:szCs w:val="28"/>
        </w:rPr>
        <w:t xml:space="preserve"> спелость наступает позднее, чем у семенных древостоев.</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Совершенно не изучен вопрос о продолжительности сохранения деревьями способности размножению отпрысками. Это объясняется тем, что возобновление отпрысками с хозяйственной точки зрения является менее желательным способом.</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b/>
          <w:sz w:val="28"/>
          <w:szCs w:val="28"/>
        </w:rPr>
        <w:t>Количественная спелость</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Количественной спелостью называют тот возраст дерева или всего древостоя, в котором средний годичный прирост у них оказывается наибольшим. Характерной чертой возраста, в котором наступает количественная спелость, является равенство между средним и текущим приростами. При графическом изображении динамики текущего и среднего прироста в зависимости от возраста отдельных деревьев и древостоев кривые пересекаются в возрасте количественной спелости.</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Таким образом, количественная спелость имеет четкие признаки. Они весьма устойчивы, строго объективны, что дает основание этот вид спелости назвать абсолютной. Однако ведение лесного хозяйства по количественной спелости может быть оправдано, если вся выращенная древесная масса сначала обращается в щепу, а затем идет в варочный котел и на химико-механическую обработку. В настоящее же время наибольшая доля потребляемой древесины нам нужна в виде досок, брусьев, фанеры и т.д.</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Для выработки этих лесных товаров требуются деревья более крупных размеров. В возрасте количественной спелости не все деревья оказываются пригодными для заготовки пиловочника, фанерного кряжа и других крупных сортиментов. Поэтому лесное хозяйство может вестись по количественной спелости леса в ограниченных случаях.</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lastRenderedPageBreak/>
        <w:t xml:space="preserve">При установлении возраста количественной спелости изучается изменение с возрастом величины среднего прироста. Тот возраст, в котором средний годичный прирост окажется наибольшим и когда он равен текущему приросту, является возрастом количественной спелости. </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Динамику роста леса характеризуют таблицы хода роста. Соответственно этому обстоятельству они являются первейшим пособием для установления возраста количественной спелости.</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В таблицах хода роста насаждений древостой делится на две части: остающаяся после рубок ухода часть древостоя (основная) и выбираемая (подчиненная) часть, идущая в </w:t>
      </w:r>
      <w:proofErr w:type="gramStart"/>
      <w:r w:rsidRPr="00483737">
        <w:rPr>
          <w:rFonts w:ascii="Times New Roman" w:hAnsi="Times New Roman" w:cs="Times New Roman"/>
          <w:sz w:val="28"/>
          <w:szCs w:val="28"/>
        </w:rPr>
        <w:t>отпад</w:t>
      </w:r>
      <w:proofErr w:type="gramEnd"/>
      <w:r w:rsidRPr="00483737">
        <w:rPr>
          <w:rFonts w:ascii="Times New Roman" w:hAnsi="Times New Roman" w:cs="Times New Roman"/>
          <w:sz w:val="28"/>
          <w:szCs w:val="28"/>
        </w:rPr>
        <w:t xml:space="preserve"> при отсутствии рубок ухода за лесом. Сумма двух названных частей древостоя характеризует его общую производительность.</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При наличии данных, расчленяющих древостой на две названные части, возникает вопрос – как определять возраст количественной спелости: по общей производительности (т.е. по сумме двух указанных частей) или по одной главной части древостоя?</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proofErr w:type="gramStart"/>
      <w:r w:rsidRPr="00483737">
        <w:rPr>
          <w:rFonts w:ascii="Times New Roman" w:hAnsi="Times New Roman" w:cs="Times New Roman"/>
          <w:sz w:val="28"/>
          <w:szCs w:val="28"/>
        </w:rPr>
        <w:t>При решении этого вопроса надо иметь ввиду, что граница между основной и подчиненной частью древостоя весьма условна.</w:t>
      </w:r>
      <w:proofErr w:type="gramEnd"/>
      <w:r w:rsidRPr="00483737">
        <w:rPr>
          <w:rFonts w:ascii="Times New Roman" w:hAnsi="Times New Roman" w:cs="Times New Roman"/>
          <w:sz w:val="28"/>
          <w:szCs w:val="28"/>
        </w:rPr>
        <w:t xml:space="preserve"> Выбираемая (подчиненная) часть составляет около 5-10% от общего запаса древостоя. В молодом возрасте она более значительна, в </w:t>
      </w:r>
      <w:proofErr w:type="gramStart"/>
      <w:r w:rsidRPr="00483737">
        <w:rPr>
          <w:rFonts w:ascii="Times New Roman" w:hAnsi="Times New Roman" w:cs="Times New Roman"/>
          <w:sz w:val="28"/>
          <w:szCs w:val="28"/>
        </w:rPr>
        <w:t>старых</w:t>
      </w:r>
      <w:proofErr w:type="gramEnd"/>
      <w:r w:rsidRPr="00483737">
        <w:rPr>
          <w:rFonts w:ascii="Times New Roman" w:hAnsi="Times New Roman" w:cs="Times New Roman"/>
          <w:sz w:val="28"/>
          <w:szCs w:val="28"/>
        </w:rPr>
        <w:t xml:space="preserve"> – ее удельный вес падает.</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При интенсивном лесном хозяйстве запас подчиненной части древостоя своевременно реализуется путем проведения рубок ухода. Спелость леса определяет время проведения главного пользования лесом, имеющего дело с основной частью древостоя. Соответственно этому сложилась практика в основу расчетов спелости леса брать оставляемую на корню главную часть древостоя. </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Примерные возрасты количественной спелости лесообразующих древесных видов.</w:t>
      </w:r>
    </w:p>
    <w:tbl>
      <w:tblPr>
        <w:tblStyle w:val="a3"/>
        <w:tblW w:w="5000" w:type="pct"/>
        <w:tblLook w:val="04A0" w:firstRow="1" w:lastRow="0" w:firstColumn="1" w:lastColumn="0" w:noHBand="0" w:noVBand="1"/>
      </w:tblPr>
      <w:tblGrid>
        <w:gridCol w:w="2378"/>
        <w:gridCol w:w="992"/>
        <w:gridCol w:w="890"/>
        <w:gridCol w:w="1328"/>
        <w:gridCol w:w="1328"/>
        <w:gridCol w:w="1328"/>
        <w:gridCol w:w="1327"/>
      </w:tblGrid>
      <w:tr w:rsidR="00483737" w:rsidRPr="00483737" w:rsidTr="00033EC2">
        <w:tc>
          <w:tcPr>
            <w:tcW w:w="1242" w:type="pct"/>
            <w:vMerge w:val="restar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Древесный вид</w:t>
            </w:r>
          </w:p>
        </w:tc>
        <w:tc>
          <w:tcPr>
            <w:tcW w:w="3758" w:type="pct"/>
            <w:gridSpan w:val="6"/>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Класс бонитета</w:t>
            </w:r>
          </w:p>
        </w:tc>
      </w:tr>
      <w:tr w:rsidR="00483737" w:rsidRPr="00483737" w:rsidTr="00033EC2">
        <w:tc>
          <w:tcPr>
            <w:tcW w:w="1242" w:type="pct"/>
            <w:vMerge/>
          </w:tcPr>
          <w:p w:rsidR="00483737" w:rsidRPr="00483737" w:rsidRDefault="00483737" w:rsidP="00033EC2">
            <w:pPr>
              <w:contextualSpacing/>
              <w:jc w:val="both"/>
              <w:rPr>
                <w:rFonts w:ascii="Times New Roman" w:hAnsi="Times New Roman" w:cs="Times New Roman"/>
                <w:sz w:val="28"/>
                <w:szCs w:val="28"/>
              </w:rPr>
            </w:pPr>
          </w:p>
        </w:tc>
        <w:tc>
          <w:tcPr>
            <w:tcW w:w="518" w:type="pct"/>
          </w:tcPr>
          <w:p w:rsidR="00483737" w:rsidRPr="00483737" w:rsidRDefault="00483737" w:rsidP="00033EC2">
            <w:pPr>
              <w:contextualSpacing/>
              <w:jc w:val="both"/>
              <w:rPr>
                <w:rFonts w:ascii="Times New Roman" w:hAnsi="Times New Roman" w:cs="Times New Roman"/>
                <w:sz w:val="28"/>
                <w:szCs w:val="28"/>
                <w:vertAlign w:val="superscript"/>
                <w:lang w:val="en-US"/>
              </w:rPr>
            </w:pPr>
            <w:proofErr w:type="spellStart"/>
            <w:r w:rsidRPr="00483737">
              <w:rPr>
                <w:rFonts w:ascii="Times New Roman" w:hAnsi="Times New Roman" w:cs="Times New Roman"/>
                <w:sz w:val="28"/>
                <w:szCs w:val="28"/>
                <w:lang w:val="en-US"/>
              </w:rPr>
              <w:t>I</w:t>
            </w:r>
            <w:r w:rsidRPr="00483737">
              <w:rPr>
                <w:rFonts w:ascii="Times New Roman" w:hAnsi="Times New Roman" w:cs="Times New Roman"/>
                <w:sz w:val="28"/>
                <w:szCs w:val="28"/>
                <w:vertAlign w:val="superscript"/>
                <w:lang w:val="en-US"/>
              </w:rPr>
              <w:t>a</w:t>
            </w:r>
            <w:proofErr w:type="spellEnd"/>
          </w:p>
        </w:tc>
        <w:tc>
          <w:tcPr>
            <w:tcW w:w="465" w:type="pct"/>
          </w:tcPr>
          <w:p w:rsidR="00483737" w:rsidRPr="00483737" w:rsidRDefault="00483737" w:rsidP="00033EC2">
            <w:pPr>
              <w:contextualSpacing/>
              <w:jc w:val="both"/>
              <w:rPr>
                <w:rFonts w:ascii="Times New Roman" w:hAnsi="Times New Roman" w:cs="Times New Roman"/>
                <w:sz w:val="28"/>
                <w:szCs w:val="28"/>
                <w:lang w:val="en-US"/>
              </w:rPr>
            </w:pPr>
            <w:r w:rsidRPr="00483737">
              <w:rPr>
                <w:rFonts w:ascii="Times New Roman" w:hAnsi="Times New Roman" w:cs="Times New Roman"/>
                <w:sz w:val="28"/>
                <w:szCs w:val="28"/>
                <w:lang w:val="en-US"/>
              </w:rPr>
              <w:t>I</w:t>
            </w:r>
          </w:p>
        </w:tc>
        <w:tc>
          <w:tcPr>
            <w:tcW w:w="694" w:type="pct"/>
          </w:tcPr>
          <w:p w:rsidR="00483737" w:rsidRPr="00483737" w:rsidRDefault="00483737" w:rsidP="00033EC2">
            <w:pPr>
              <w:contextualSpacing/>
              <w:jc w:val="both"/>
              <w:rPr>
                <w:rFonts w:ascii="Times New Roman" w:hAnsi="Times New Roman" w:cs="Times New Roman"/>
                <w:sz w:val="28"/>
                <w:szCs w:val="28"/>
                <w:lang w:val="en-US"/>
              </w:rPr>
            </w:pPr>
            <w:r w:rsidRPr="00483737">
              <w:rPr>
                <w:rFonts w:ascii="Times New Roman" w:hAnsi="Times New Roman" w:cs="Times New Roman"/>
                <w:sz w:val="28"/>
                <w:szCs w:val="28"/>
                <w:lang w:val="en-US"/>
              </w:rPr>
              <w:t>II</w:t>
            </w:r>
          </w:p>
        </w:tc>
        <w:tc>
          <w:tcPr>
            <w:tcW w:w="694" w:type="pct"/>
          </w:tcPr>
          <w:p w:rsidR="00483737" w:rsidRPr="00483737" w:rsidRDefault="00483737" w:rsidP="00033EC2">
            <w:pPr>
              <w:contextualSpacing/>
              <w:jc w:val="both"/>
              <w:rPr>
                <w:rFonts w:ascii="Times New Roman" w:hAnsi="Times New Roman" w:cs="Times New Roman"/>
                <w:sz w:val="28"/>
                <w:szCs w:val="28"/>
                <w:lang w:val="en-US"/>
              </w:rPr>
            </w:pPr>
            <w:r w:rsidRPr="00483737">
              <w:rPr>
                <w:rFonts w:ascii="Times New Roman" w:hAnsi="Times New Roman" w:cs="Times New Roman"/>
                <w:sz w:val="28"/>
                <w:szCs w:val="28"/>
                <w:lang w:val="en-US"/>
              </w:rPr>
              <w:t>III</w:t>
            </w:r>
          </w:p>
        </w:tc>
        <w:tc>
          <w:tcPr>
            <w:tcW w:w="694" w:type="pct"/>
          </w:tcPr>
          <w:p w:rsidR="00483737" w:rsidRPr="00483737" w:rsidRDefault="00483737" w:rsidP="00033EC2">
            <w:pPr>
              <w:contextualSpacing/>
              <w:jc w:val="both"/>
              <w:rPr>
                <w:rFonts w:ascii="Times New Roman" w:hAnsi="Times New Roman" w:cs="Times New Roman"/>
                <w:sz w:val="28"/>
                <w:szCs w:val="28"/>
                <w:lang w:val="en-US"/>
              </w:rPr>
            </w:pPr>
            <w:r w:rsidRPr="00483737">
              <w:rPr>
                <w:rFonts w:ascii="Times New Roman" w:hAnsi="Times New Roman" w:cs="Times New Roman"/>
                <w:sz w:val="28"/>
                <w:szCs w:val="28"/>
                <w:lang w:val="en-US"/>
              </w:rPr>
              <w:t>IV</w:t>
            </w:r>
          </w:p>
        </w:tc>
        <w:tc>
          <w:tcPr>
            <w:tcW w:w="693" w:type="pct"/>
          </w:tcPr>
          <w:p w:rsidR="00483737" w:rsidRPr="00483737" w:rsidRDefault="00483737" w:rsidP="00033EC2">
            <w:pPr>
              <w:contextualSpacing/>
              <w:jc w:val="both"/>
              <w:rPr>
                <w:rFonts w:ascii="Times New Roman" w:hAnsi="Times New Roman" w:cs="Times New Roman"/>
                <w:sz w:val="28"/>
                <w:szCs w:val="28"/>
                <w:lang w:val="en-US"/>
              </w:rPr>
            </w:pPr>
            <w:r w:rsidRPr="00483737">
              <w:rPr>
                <w:rFonts w:ascii="Times New Roman" w:hAnsi="Times New Roman" w:cs="Times New Roman"/>
                <w:sz w:val="28"/>
                <w:szCs w:val="28"/>
                <w:lang w:val="en-US"/>
              </w:rPr>
              <w:t>V</w:t>
            </w:r>
          </w:p>
        </w:tc>
      </w:tr>
      <w:tr w:rsidR="00483737" w:rsidRPr="00483737" w:rsidTr="00033EC2">
        <w:tc>
          <w:tcPr>
            <w:tcW w:w="1242"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Сосна</w:t>
            </w:r>
          </w:p>
        </w:tc>
        <w:tc>
          <w:tcPr>
            <w:tcW w:w="518"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60</w:t>
            </w:r>
          </w:p>
        </w:tc>
        <w:tc>
          <w:tcPr>
            <w:tcW w:w="465"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65</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65</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70</w:t>
            </w:r>
          </w:p>
        </w:tc>
        <w:tc>
          <w:tcPr>
            <w:tcW w:w="693"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80</w:t>
            </w:r>
          </w:p>
        </w:tc>
      </w:tr>
      <w:tr w:rsidR="00483737" w:rsidRPr="00483737" w:rsidTr="00033EC2">
        <w:tc>
          <w:tcPr>
            <w:tcW w:w="1242"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Ель</w:t>
            </w:r>
          </w:p>
        </w:tc>
        <w:tc>
          <w:tcPr>
            <w:tcW w:w="518"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70</w:t>
            </w:r>
          </w:p>
        </w:tc>
        <w:tc>
          <w:tcPr>
            <w:tcW w:w="465"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80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85</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90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90</w:t>
            </w:r>
          </w:p>
        </w:tc>
        <w:tc>
          <w:tcPr>
            <w:tcW w:w="693"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95</w:t>
            </w:r>
          </w:p>
        </w:tc>
      </w:tr>
      <w:tr w:rsidR="00483737" w:rsidRPr="00483737" w:rsidTr="00033EC2">
        <w:tc>
          <w:tcPr>
            <w:tcW w:w="1242"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Дуб</w:t>
            </w:r>
          </w:p>
        </w:tc>
        <w:tc>
          <w:tcPr>
            <w:tcW w:w="518"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60</w:t>
            </w:r>
          </w:p>
        </w:tc>
        <w:tc>
          <w:tcPr>
            <w:tcW w:w="465"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70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70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80</w:t>
            </w:r>
          </w:p>
        </w:tc>
        <w:tc>
          <w:tcPr>
            <w:tcW w:w="693"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95</w:t>
            </w:r>
          </w:p>
        </w:tc>
      </w:tr>
      <w:tr w:rsidR="00483737" w:rsidRPr="00483737" w:rsidTr="00033EC2">
        <w:tc>
          <w:tcPr>
            <w:tcW w:w="1242"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Береза</w:t>
            </w:r>
          </w:p>
        </w:tc>
        <w:tc>
          <w:tcPr>
            <w:tcW w:w="518"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40</w:t>
            </w:r>
          </w:p>
        </w:tc>
        <w:tc>
          <w:tcPr>
            <w:tcW w:w="465"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40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50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55</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60</w:t>
            </w:r>
          </w:p>
        </w:tc>
        <w:tc>
          <w:tcPr>
            <w:tcW w:w="693"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65</w:t>
            </w:r>
          </w:p>
        </w:tc>
      </w:tr>
      <w:tr w:rsidR="00483737" w:rsidRPr="00483737" w:rsidTr="00033EC2">
        <w:tc>
          <w:tcPr>
            <w:tcW w:w="1242"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Ольха </w:t>
            </w:r>
            <w:proofErr w:type="gramStart"/>
            <w:r w:rsidRPr="00483737">
              <w:rPr>
                <w:rFonts w:ascii="Times New Roman" w:hAnsi="Times New Roman" w:cs="Times New Roman"/>
                <w:sz w:val="28"/>
                <w:szCs w:val="28"/>
              </w:rPr>
              <w:t>ч</w:t>
            </w:r>
            <w:proofErr w:type="gramEnd"/>
            <w:r w:rsidRPr="00483737">
              <w:rPr>
                <w:rFonts w:ascii="Times New Roman" w:hAnsi="Times New Roman" w:cs="Times New Roman"/>
                <w:sz w:val="28"/>
                <w:szCs w:val="28"/>
              </w:rPr>
              <w:t>.</w:t>
            </w:r>
          </w:p>
        </w:tc>
        <w:tc>
          <w:tcPr>
            <w:tcW w:w="518"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35</w:t>
            </w:r>
          </w:p>
        </w:tc>
        <w:tc>
          <w:tcPr>
            <w:tcW w:w="465"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35</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35</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40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40</w:t>
            </w:r>
          </w:p>
        </w:tc>
        <w:tc>
          <w:tcPr>
            <w:tcW w:w="693"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45</w:t>
            </w:r>
          </w:p>
        </w:tc>
      </w:tr>
      <w:tr w:rsidR="00483737" w:rsidRPr="00483737" w:rsidTr="00033EC2">
        <w:tc>
          <w:tcPr>
            <w:tcW w:w="1242"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Осина</w:t>
            </w:r>
          </w:p>
        </w:tc>
        <w:tc>
          <w:tcPr>
            <w:tcW w:w="518"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45</w:t>
            </w:r>
          </w:p>
        </w:tc>
        <w:tc>
          <w:tcPr>
            <w:tcW w:w="465"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50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50</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55</w:t>
            </w:r>
          </w:p>
        </w:tc>
        <w:tc>
          <w:tcPr>
            <w:tcW w:w="694"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55</w:t>
            </w:r>
          </w:p>
        </w:tc>
        <w:tc>
          <w:tcPr>
            <w:tcW w:w="693" w:type="pct"/>
          </w:tcPr>
          <w:p w:rsidR="00483737" w:rsidRPr="00483737" w:rsidRDefault="00483737" w:rsidP="00033EC2">
            <w:pPr>
              <w:contextualSpacing/>
              <w:jc w:val="both"/>
              <w:rPr>
                <w:rFonts w:ascii="Times New Roman" w:hAnsi="Times New Roman" w:cs="Times New Roman"/>
                <w:sz w:val="28"/>
                <w:szCs w:val="28"/>
              </w:rPr>
            </w:pPr>
            <w:r w:rsidRPr="00483737">
              <w:rPr>
                <w:rFonts w:ascii="Times New Roman" w:hAnsi="Times New Roman" w:cs="Times New Roman"/>
                <w:sz w:val="28"/>
                <w:szCs w:val="28"/>
              </w:rPr>
              <w:t>55</w:t>
            </w:r>
          </w:p>
        </w:tc>
      </w:tr>
    </w:tbl>
    <w:p w:rsidR="00483737" w:rsidRPr="00483737" w:rsidRDefault="00483737" w:rsidP="00483737">
      <w:pPr>
        <w:spacing w:line="240" w:lineRule="auto"/>
        <w:ind w:firstLine="567"/>
        <w:contextualSpacing/>
        <w:jc w:val="both"/>
        <w:rPr>
          <w:rFonts w:ascii="Times New Roman" w:hAnsi="Times New Roman" w:cs="Times New Roman"/>
          <w:sz w:val="28"/>
          <w:szCs w:val="28"/>
        </w:rPr>
      </w:pP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Принципиальной основой для такого решения вопроса является то обстоятельство, что главное пользование лесом определяется по основной части древостоя, а промежуточное (рубки ухода за лесом) – по динамике накопления запаса, идущего в </w:t>
      </w:r>
      <w:proofErr w:type="gramStart"/>
      <w:r w:rsidRPr="00483737">
        <w:rPr>
          <w:rFonts w:ascii="Times New Roman" w:hAnsi="Times New Roman" w:cs="Times New Roman"/>
          <w:sz w:val="28"/>
          <w:szCs w:val="28"/>
        </w:rPr>
        <w:t>отпад</w:t>
      </w:r>
      <w:proofErr w:type="gramEnd"/>
      <w:r w:rsidRPr="00483737">
        <w:rPr>
          <w:rFonts w:ascii="Times New Roman" w:hAnsi="Times New Roman" w:cs="Times New Roman"/>
          <w:sz w:val="28"/>
          <w:szCs w:val="28"/>
        </w:rPr>
        <w:t>.</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В хозяйствах, где рубки ухода почти не ведутся, правильнее было бы спелость леса устанавливать по сумме запаса всех растущих деревьев.</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lastRenderedPageBreak/>
        <w:t xml:space="preserve">Обстоятельный анализ рассматриваемого вопроса в свое время был проведен в середине 19 века </w:t>
      </w:r>
      <w:proofErr w:type="spellStart"/>
      <w:r w:rsidRPr="00483737">
        <w:rPr>
          <w:rFonts w:ascii="Times New Roman" w:hAnsi="Times New Roman" w:cs="Times New Roman"/>
          <w:sz w:val="28"/>
          <w:szCs w:val="28"/>
        </w:rPr>
        <w:t>Варгас</w:t>
      </w:r>
      <w:proofErr w:type="spellEnd"/>
      <w:r w:rsidRPr="00483737">
        <w:rPr>
          <w:rFonts w:ascii="Times New Roman" w:hAnsi="Times New Roman" w:cs="Times New Roman"/>
          <w:sz w:val="28"/>
          <w:szCs w:val="28"/>
        </w:rPr>
        <w:t>-де-</w:t>
      </w:r>
      <w:proofErr w:type="spellStart"/>
      <w:r w:rsidRPr="00483737">
        <w:rPr>
          <w:rFonts w:ascii="Times New Roman" w:hAnsi="Times New Roman" w:cs="Times New Roman"/>
          <w:sz w:val="28"/>
          <w:szCs w:val="28"/>
        </w:rPr>
        <w:t>Бадемаром</w:t>
      </w:r>
      <w:proofErr w:type="spellEnd"/>
      <w:r w:rsidRPr="00483737">
        <w:rPr>
          <w:rFonts w:ascii="Times New Roman" w:hAnsi="Times New Roman" w:cs="Times New Roman"/>
          <w:sz w:val="28"/>
          <w:szCs w:val="28"/>
        </w:rPr>
        <w:t xml:space="preserve"> и в 20 веке профессором </w:t>
      </w:r>
      <w:proofErr w:type="spellStart"/>
      <w:r w:rsidRPr="00483737">
        <w:rPr>
          <w:rFonts w:ascii="Times New Roman" w:hAnsi="Times New Roman" w:cs="Times New Roman"/>
          <w:sz w:val="28"/>
          <w:szCs w:val="28"/>
        </w:rPr>
        <w:t>М.М.Орловым</w:t>
      </w:r>
      <w:proofErr w:type="spellEnd"/>
      <w:r w:rsidRPr="00483737">
        <w:rPr>
          <w:rFonts w:ascii="Times New Roman" w:hAnsi="Times New Roman" w:cs="Times New Roman"/>
          <w:sz w:val="28"/>
          <w:szCs w:val="28"/>
        </w:rPr>
        <w:t>. Орлов показал, что у хвойных пород возраст количественной спелости с ухудшением класса бонитета несколько увеличивается, однако увеличение это все же незначительно. В средних классах бонитета возраст количественной спелости наступает в одном возрасте.</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У лиственных пород возраст количественной спелости во всех классах бонитета наступает одновременно. При этом лиственные породы поспевают раньше, чем хвойные. </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У всех древесных пород количественная спелость основной части древостоя наступает на 10 лет раньше, чем у древостоя, взятого в целом.</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В последнее время вносятся предложения возраст количественной спелости леса исчислять по общей производительности древостоя, включая в нее три слагаемых: а) запас основной части древостоя; б)  запас выбираемой, подчиненной части и в) сумма </w:t>
      </w:r>
      <w:proofErr w:type="gramStart"/>
      <w:r w:rsidRPr="00483737">
        <w:rPr>
          <w:rFonts w:ascii="Times New Roman" w:hAnsi="Times New Roman" w:cs="Times New Roman"/>
          <w:sz w:val="28"/>
          <w:szCs w:val="28"/>
        </w:rPr>
        <w:t>отпадов</w:t>
      </w:r>
      <w:proofErr w:type="gramEnd"/>
      <w:r w:rsidRPr="00483737">
        <w:rPr>
          <w:rFonts w:ascii="Times New Roman" w:hAnsi="Times New Roman" w:cs="Times New Roman"/>
          <w:sz w:val="28"/>
          <w:szCs w:val="28"/>
        </w:rPr>
        <w:t xml:space="preserve"> в древостое, происшедших с момента его возникновения и кончая данным возрастом.</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При таком методе расчета возраст количественной спелости у хвойных древостоев наступает на 20-30 лет позднее, чем при исчислении его по главной части древостоя.</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Этот метод все же является дискуссионным, так как наряду с имеющимся древесным запасом в расчёт включается давно отмершая и реально уже несуществующая часть древостоя. Какой хозяйственный эффект извлечен из этой отмершей части древостоя, остается неизвестным. От общего запаса сумма </w:t>
      </w:r>
      <w:proofErr w:type="gramStart"/>
      <w:r w:rsidRPr="00483737">
        <w:rPr>
          <w:rFonts w:ascii="Times New Roman" w:hAnsi="Times New Roman" w:cs="Times New Roman"/>
          <w:sz w:val="28"/>
          <w:szCs w:val="28"/>
        </w:rPr>
        <w:t>отпадов</w:t>
      </w:r>
      <w:proofErr w:type="gramEnd"/>
      <w:r w:rsidRPr="00483737">
        <w:rPr>
          <w:rFonts w:ascii="Times New Roman" w:hAnsi="Times New Roman" w:cs="Times New Roman"/>
          <w:sz w:val="28"/>
          <w:szCs w:val="28"/>
        </w:rPr>
        <w:t xml:space="preserve"> составляет около 30-35%.</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В странах, имеющих мощную целлюлозно-бумажную и химическую промышленность, основная масса древесины дробится на щепу и используется в измельченном виде. Поэтому перерабатывающая промышленность заинтересована в получении возможно большей древесной массы, выращиваемой в предельно короткие сроки. При этих условиях количественная спелость приобретает большое практическое значение. В возрасте количественной спелости лесное хозяйство получает максимальный урожай (прирост) древесины.    </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Возраст количественной спелости определяют с помощью таблиц хода роста по соотношению среднего и текущего прироста. Но эти таблицы предназначены для чистых по составу, оптимально сомкнутых древостоев. В природе же чаще встречаются смешанные по составу древостои, с полнотой ниже оптимальной, интенсивно подвергаемые рубкам ухода. Количественную спелость таких древостоев определяют непосредственно при полевых лесоустроительных работах по соотношению процентов текущего и среднего прироста.</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Процент среднего прироста </w:t>
      </w:r>
      <w:r w:rsidRPr="00483737">
        <w:rPr>
          <w:rFonts w:ascii="Times New Roman" w:hAnsi="Times New Roman" w:cs="Times New Roman"/>
          <w:b/>
          <w:sz w:val="28"/>
          <w:szCs w:val="28"/>
        </w:rPr>
        <w:t>Р</w:t>
      </w:r>
      <w:r w:rsidRPr="00483737">
        <w:rPr>
          <w:rFonts w:ascii="Times New Roman" w:hAnsi="Times New Roman" w:cs="Times New Roman"/>
          <w:sz w:val="28"/>
          <w:szCs w:val="28"/>
        </w:rPr>
        <w:t xml:space="preserve"> определяют делением постоянного коэффициента 100 на возраст исследуемого древостоя</w:t>
      </w:r>
      <w:proofErr w:type="gramStart"/>
      <w:r w:rsidRPr="00483737">
        <w:rPr>
          <w:rFonts w:ascii="Times New Roman" w:hAnsi="Times New Roman" w:cs="Times New Roman"/>
          <w:sz w:val="28"/>
          <w:szCs w:val="28"/>
        </w:rPr>
        <w:t xml:space="preserve"> </w:t>
      </w:r>
      <w:r w:rsidRPr="00483737">
        <w:rPr>
          <w:rFonts w:ascii="Times New Roman" w:hAnsi="Times New Roman" w:cs="Times New Roman"/>
          <w:b/>
          <w:sz w:val="28"/>
          <w:szCs w:val="28"/>
        </w:rPr>
        <w:t>А</w:t>
      </w:r>
      <w:proofErr w:type="gramEnd"/>
      <w:r w:rsidRPr="00483737">
        <w:rPr>
          <w:rFonts w:ascii="Times New Roman" w:hAnsi="Times New Roman" w:cs="Times New Roman"/>
          <w:b/>
          <w:sz w:val="28"/>
          <w:szCs w:val="28"/>
        </w:rPr>
        <w:t>:</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p>
    <w:p w:rsidR="00483737" w:rsidRPr="00483737" w:rsidRDefault="00483737" w:rsidP="00483737">
      <w:pPr>
        <w:spacing w:line="240" w:lineRule="auto"/>
        <w:ind w:firstLine="567"/>
        <w:contextualSpacing/>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Z</m:t>
                </m:r>
              </m:sub>
            </m:sSub>
          </m:sub>
        </m:sSub>
      </m:oMath>
      <w:r w:rsidRPr="00483737">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100</m:t>
            </m:r>
          </m:num>
          <m:den>
            <m:r>
              <w:rPr>
                <w:rFonts w:ascii="Cambria Math" w:eastAsiaTheme="minorEastAsia" w:hAnsi="Cambria Math" w:cs="Times New Roman"/>
                <w:sz w:val="28"/>
                <w:szCs w:val="28"/>
                <w:lang w:val="en-US"/>
              </w:rPr>
              <m:t>A</m:t>
            </m:r>
          </m:den>
        </m:f>
      </m:oMath>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lastRenderedPageBreak/>
        <w:t>Процент текущего прироста находят по формуле</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p>
    <w:p w:rsidR="00483737" w:rsidRPr="00483737" w:rsidRDefault="00483737" w:rsidP="00483737">
      <w:pPr>
        <w:spacing w:line="240" w:lineRule="auto"/>
        <w:ind w:firstLine="567"/>
        <w:contextualSpacing/>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 xml:space="preserve">Δ </m:t>
                </m:r>
              </m:sub>
            </m:sSub>
          </m:sub>
        </m:sSub>
      </m:oMath>
      <w:proofErr w:type="gramStart"/>
      <w:r w:rsidRPr="00483737">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KΣiD</m:t>
            </m:r>
          </m:num>
          <m:den>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ΣD</m:t>
                </m:r>
              </m:e>
              <m:sup>
                <m:r>
                  <w:rPr>
                    <w:rFonts w:ascii="Cambria Math" w:eastAsiaTheme="minorEastAsia" w:hAnsi="Cambria Math" w:cs="Times New Roman"/>
                    <w:sz w:val="28"/>
                    <w:szCs w:val="28"/>
                  </w:rPr>
                  <m:t>2</m:t>
                </m:r>
              </m:sup>
            </m:sSup>
          </m:den>
        </m:f>
      </m:oMath>
      <w:r w:rsidRPr="00483737">
        <w:rPr>
          <w:rFonts w:ascii="Times New Roman" w:eastAsiaTheme="minorEastAsia" w:hAnsi="Times New Roman" w:cs="Times New Roman"/>
          <w:sz w:val="28"/>
          <w:szCs w:val="28"/>
        </w:rPr>
        <w:t xml:space="preserve"> , где</w:t>
      </w:r>
      <w:proofErr w:type="gramEnd"/>
    </w:p>
    <w:p w:rsidR="00483737" w:rsidRPr="00483737" w:rsidRDefault="00483737" w:rsidP="00483737">
      <w:pPr>
        <w:spacing w:line="240" w:lineRule="auto"/>
        <w:ind w:firstLine="567"/>
        <w:contextualSpacing/>
        <w:jc w:val="both"/>
        <w:rPr>
          <w:rFonts w:ascii="Times New Roman" w:eastAsiaTheme="minorEastAsia" w:hAnsi="Times New Roman" w:cs="Times New Roman"/>
          <w:sz w:val="28"/>
          <w:szCs w:val="28"/>
        </w:rPr>
      </w:pPr>
      <w:proofErr w:type="gramStart"/>
      <w:r w:rsidRPr="00483737">
        <w:rPr>
          <w:rFonts w:ascii="Times New Roman" w:eastAsiaTheme="minorEastAsia" w:hAnsi="Times New Roman" w:cs="Times New Roman"/>
          <w:sz w:val="28"/>
          <w:szCs w:val="28"/>
        </w:rPr>
        <w:t>К</w:t>
      </w:r>
      <w:proofErr w:type="gramEnd"/>
      <w:r w:rsidRPr="00483737">
        <w:rPr>
          <w:rFonts w:ascii="Times New Roman" w:eastAsiaTheme="minorEastAsia" w:hAnsi="Times New Roman" w:cs="Times New Roman"/>
          <w:sz w:val="28"/>
          <w:szCs w:val="28"/>
        </w:rPr>
        <w:t xml:space="preserve"> – коэффициент, изменяющийся от 400 до 800, зависит от энергии роста в высоту и протяженности кроны; </w:t>
      </w:r>
      <w:r w:rsidRPr="00483737">
        <w:rPr>
          <w:rFonts w:ascii="Times New Roman" w:eastAsiaTheme="minorEastAsia" w:hAnsi="Times New Roman" w:cs="Times New Roman"/>
          <w:sz w:val="28"/>
          <w:szCs w:val="28"/>
          <w:lang w:val="en-US"/>
        </w:rPr>
        <w:t>D</w:t>
      </w:r>
      <w:r w:rsidRPr="00483737">
        <w:rPr>
          <w:rFonts w:ascii="Times New Roman" w:eastAsiaTheme="minorEastAsia" w:hAnsi="Times New Roman" w:cs="Times New Roman"/>
          <w:sz w:val="28"/>
          <w:szCs w:val="28"/>
        </w:rPr>
        <w:t xml:space="preserve"> – диаметр дерева; </w:t>
      </w:r>
      <w:proofErr w:type="spellStart"/>
      <w:r w:rsidRPr="00483737">
        <w:rPr>
          <w:rFonts w:ascii="Times New Roman" w:eastAsiaTheme="minorEastAsia" w:hAnsi="Times New Roman" w:cs="Times New Roman"/>
          <w:sz w:val="28"/>
          <w:szCs w:val="28"/>
          <w:lang w:val="en-US"/>
        </w:rPr>
        <w:t>i</w:t>
      </w:r>
      <w:proofErr w:type="spellEnd"/>
      <w:r w:rsidRPr="00483737">
        <w:rPr>
          <w:rFonts w:ascii="Times New Roman" w:eastAsiaTheme="minorEastAsia" w:hAnsi="Times New Roman" w:cs="Times New Roman"/>
          <w:sz w:val="28"/>
          <w:szCs w:val="28"/>
        </w:rPr>
        <w:t xml:space="preserve"> – средняя ширина годичного слоя по радиусу.</w:t>
      </w:r>
    </w:p>
    <w:p w:rsidR="00483737" w:rsidRPr="00483737" w:rsidRDefault="00483737" w:rsidP="00483737">
      <w:pPr>
        <w:spacing w:line="240" w:lineRule="auto"/>
        <w:ind w:firstLine="567"/>
        <w:contextualSpacing/>
        <w:jc w:val="both"/>
        <w:rPr>
          <w:rFonts w:ascii="Times New Roman" w:eastAsiaTheme="minorEastAsia" w:hAnsi="Times New Roman" w:cs="Times New Roman"/>
          <w:sz w:val="28"/>
          <w:szCs w:val="28"/>
        </w:rPr>
      </w:pPr>
      <w:r w:rsidRPr="00483737">
        <w:rPr>
          <w:rFonts w:ascii="Times New Roman" w:eastAsiaTheme="minorEastAsia" w:hAnsi="Times New Roman" w:cs="Times New Roman"/>
          <w:sz w:val="28"/>
          <w:szCs w:val="28"/>
        </w:rPr>
        <w:t xml:space="preserve">По указанной формуле процент текущего прироста смешанного древостоя определяют для каждого лесообразующего древесного вида, а общий процент – как средневзвешенный с учетом доли участия древесного вида в составе древостоя. Для каждого древесного вида в составе древостоя берут 15-20 деревьев для измерения ширины годичного слоя. Диаметр деревьев замеряют без коры. Если проценты текущего и среднего прироста равны, </w:t>
      </w:r>
      <w:proofErr w:type="gramStart"/>
      <w:r w:rsidRPr="00483737">
        <w:rPr>
          <w:rFonts w:ascii="Times New Roman" w:eastAsiaTheme="minorEastAsia" w:hAnsi="Times New Roman" w:cs="Times New Roman"/>
          <w:sz w:val="28"/>
          <w:szCs w:val="28"/>
        </w:rPr>
        <w:t>значит</w:t>
      </w:r>
      <w:proofErr w:type="gramEnd"/>
      <w:r w:rsidRPr="00483737">
        <w:rPr>
          <w:rFonts w:ascii="Times New Roman" w:eastAsiaTheme="minorEastAsia" w:hAnsi="Times New Roman" w:cs="Times New Roman"/>
          <w:sz w:val="28"/>
          <w:szCs w:val="28"/>
        </w:rPr>
        <w:t xml:space="preserve"> древостой находится в возрасте количественной спелости. </w:t>
      </w:r>
    </w:p>
    <w:p w:rsidR="00483737" w:rsidRPr="00483737" w:rsidRDefault="00483737" w:rsidP="00483737">
      <w:pPr>
        <w:spacing w:line="240" w:lineRule="auto"/>
        <w:ind w:firstLine="567"/>
        <w:contextualSpacing/>
        <w:jc w:val="both"/>
        <w:rPr>
          <w:rFonts w:ascii="Times New Roman" w:eastAsiaTheme="minorEastAsia" w:hAnsi="Times New Roman" w:cs="Times New Roman"/>
          <w:sz w:val="28"/>
          <w:szCs w:val="28"/>
        </w:rPr>
      </w:pP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Лекция 6 </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   </w:t>
      </w:r>
      <w:r w:rsidRPr="00483737">
        <w:rPr>
          <w:rFonts w:ascii="Times New Roman" w:hAnsi="Times New Roman" w:cs="Times New Roman"/>
          <w:b/>
          <w:sz w:val="28"/>
          <w:szCs w:val="28"/>
        </w:rPr>
        <w:t>Тема 2.5 Техническая, хозяйственная и специальные спелости леса</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Техническая спелость. Возраста технической спелости. Методы определения технической спелости. Значение технической спелости для организации лесного хозяйства. Хозяйственная, экономическая и специальные спелости. Их определения и значение для организации лесного хозяйства. Исследования спелостей леса в Республики Беларусь.</w:t>
      </w:r>
    </w:p>
    <w:p w:rsidR="00483737" w:rsidRPr="00483737" w:rsidRDefault="00483737" w:rsidP="00483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                                                                                                                                                                                                                                                                                                                                                                                                                                                                                                                                                                                                                                                                                                                                                                                                             </w:t>
      </w:r>
    </w:p>
    <w:p w:rsidR="005469EE" w:rsidRPr="00483737" w:rsidRDefault="005469EE">
      <w:pPr>
        <w:rPr>
          <w:rFonts w:ascii="Times New Roman" w:hAnsi="Times New Roman" w:cs="Times New Roman"/>
          <w:sz w:val="28"/>
          <w:szCs w:val="28"/>
        </w:rPr>
      </w:pPr>
    </w:p>
    <w:sectPr w:rsidR="005469EE" w:rsidRPr="004837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97CD3"/>
    <w:multiLevelType w:val="multilevel"/>
    <w:tmpl w:val="6690F8EC"/>
    <w:lvl w:ilvl="0">
      <w:start w:val="1"/>
      <w:numFmt w:val="decimal"/>
      <w:pStyle w:val="-"/>
      <w:lvlText w:val="Раздел %1."/>
      <w:lvlJc w:val="left"/>
      <w:pPr>
        <w:tabs>
          <w:tab w:val="num" w:pos="5961"/>
        </w:tabs>
        <w:ind w:left="5961" w:hanging="432"/>
      </w:pPr>
      <w:rPr>
        <w:rFonts w:hint="default"/>
      </w:rPr>
    </w:lvl>
    <w:lvl w:ilvl="1">
      <w:start w:val="1"/>
      <w:numFmt w:val="decimal"/>
      <w:pStyle w:val="-0"/>
      <w:lvlText w:val="%1.%2."/>
      <w:lvlJc w:val="left"/>
      <w:pPr>
        <w:tabs>
          <w:tab w:val="num" w:pos="4838"/>
        </w:tabs>
        <w:ind w:left="3534" w:firstLine="720"/>
      </w:pPr>
      <w:rPr>
        <w:rFonts w:hint="default"/>
      </w:rPr>
    </w:lvl>
    <w:lvl w:ilvl="2">
      <w:start w:val="1"/>
      <w:numFmt w:val="decimal"/>
      <w:pStyle w:val="3"/>
      <w:lvlText w:val="%1.%2.%3"/>
      <w:lvlJc w:val="left"/>
      <w:pPr>
        <w:tabs>
          <w:tab w:val="num" w:pos="4548"/>
        </w:tabs>
        <w:ind w:left="4548" w:hanging="720"/>
      </w:pPr>
      <w:rPr>
        <w:rFonts w:hint="default"/>
      </w:rPr>
    </w:lvl>
    <w:lvl w:ilvl="3">
      <w:start w:val="1"/>
      <w:numFmt w:val="decimal"/>
      <w:pStyle w:val="4"/>
      <w:lvlText w:val="%1.%2.%3.%4"/>
      <w:lvlJc w:val="left"/>
      <w:pPr>
        <w:tabs>
          <w:tab w:val="num" w:pos="4692"/>
        </w:tabs>
        <w:ind w:left="4692" w:hanging="864"/>
      </w:pPr>
      <w:rPr>
        <w:rFonts w:hint="default"/>
      </w:rPr>
    </w:lvl>
    <w:lvl w:ilvl="4">
      <w:start w:val="1"/>
      <w:numFmt w:val="decimal"/>
      <w:pStyle w:val="5"/>
      <w:lvlText w:val="%1.%2.%3.%4.%5"/>
      <w:lvlJc w:val="left"/>
      <w:pPr>
        <w:tabs>
          <w:tab w:val="num" w:pos="4836"/>
        </w:tabs>
        <w:ind w:left="4836" w:hanging="1008"/>
      </w:pPr>
      <w:rPr>
        <w:rFonts w:hint="default"/>
      </w:rPr>
    </w:lvl>
    <w:lvl w:ilvl="5">
      <w:start w:val="1"/>
      <w:numFmt w:val="decimal"/>
      <w:pStyle w:val="6"/>
      <w:lvlText w:val="%1.%2.%3.%4.%5.%6"/>
      <w:lvlJc w:val="left"/>
      <w:pPr>
        <w:tabs>
          <w:tab w:val="num" w:pos="4980"/>
        </w:tabs>
        <w:ind w:left="4980" w:hanging="1152"/>
      </w:pPr>
      <w:rPr>
        <w:rFonts w:hint="default"/>
      </w:rPr>
    </w:lvl>
    <w:lvl w:ilvl="6">
      <w:start w:val="1"/>
      <w:numFmt w:val="decimal"/>
      <w:pStyle w:val="7"/>
      <w:lvlText w:val="%1.%2.%3.%4.%5.%6.%7"/>
      <w:lvlJc w:val="left"/>
      <w:pPr>
        <w:tabs>
          <w:tab w:val="num" w:pos="5124"/>
        </w:tabs>
        <w:ind w:left="5124" w:hanging="1296"/>
      </w:pPr>
      <w:rPr>
        <w:rFonts w:hint="default"/>
      </w:rPr>
    </w:lvl>
    <w:lvl w:ilvl="7">
      <w:start w:val="1"/>
      <w:numFmt w:val="decimal"/>
      <w:pStyle w:val="8"/>
      <w:lvlText w:val="%1.%2.%3.%4.%5.%6.%7.%8"/>
      <w:lvlJc w:val="left"/>
      <w:pPr>
        <w:tabs>
          <w:tab w:val="num" w:pos="5268"/>
        </w:tabs>
        <w:ind w:left="5268" w:hanging="1440"/>
      </w:pPr>
      <w:rPr>
        <w:rFonts w:hint="default"/>
      </w:rPr>
    </w:lvl>
    <w:lvl w:ilvl="8">
      <w:start w:val="1"/>
      <w:numFmt w:val="decimal"/>
      <w:pStyle w:val="9"/>
      <w:lvlText w:val="%1.%2.%3.%4.%5.%6.%7.%8.%9"/>
      <w:lvlJc w:val="left"/>
      <w:pPr>
        <w:tabs>
          <w:tab w:val="num" w:pos="5412"/>
        </w:tabs>
        <w:ind w:left="5412"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737"/>
    <w:rsid w:val="00483737"/>
    <w:rsid w:val="00546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737"/>
  </w:style>
  <w:style w:type="paragraph" w:styleId="3">
    <w:name w:val="heading 3"/>
    <w:basedOn w:val="a"/>
    <w:next w:val="a"/>
    <w:link w:val="30"/>
    <w:qFormat/>
    <w:rsid w:val="00483737"/>
    <w:pPr>
      <w:keepNext/>
      <w:widowControl w:val="0"/>
      <w:numPr>
        <w:ilvl w:val="2"/>
        <w:numId w:val="1"/>
      </w:numPr>
      <w:spacing w:before="240" w:after="60" w:line="360" w:lineRule="atLeast"/>
      <w:jc w:val="both"/>
      <w:outlineLvl w:val="2"/>
    </w:pPr>
    <w:rPr>
      <w:rFonts w:ascii="Arial" w:eastAsia="Times New Roman" w:hAnsi="Arial" w:cs="Times New Roman"/>
      <w:snapToGrid w:val="0"/>
      <w:sz w:val="24"/>
      <w:szCs w:val="20"/>
      <w:lang w:eastAsia="ru-RU"/>
    </w:rPr>
  </w:style>
  <w:style w:type="paragraph" w:styleId="4">
    <w:name w:val="heading 4"/>
    <w:basedOn w:val="a"/>
    <w:next w:val="a"/>
    <w:link w:val="40"/>
    <w:qFormat/>
    <w:rsid w:val="00483737"/>
    <w:pPr>
      <w:keepNext/>
      <w:widowControl w:val="0"/>
      <w:numPr>
        <w:ilvl w:val="3"/>
        <w:numId w:val="1"/>
      </w:numPr>
      <w:spacing w:before="240" w:after="60" w:line="360" w:lineRule="atLeast"/>
      <w:jc w:val="both"/>
      <w:outlineLvl w:val="3"/>
    </w:pPr>
    <w:rPr>
      <w:rFonts w:ascii="Arial" w:eastAsia="Times New Roman" w:hAnsi="Arial" w:cs="Times New Roman"/>
      <w:b/>
      <w:snapToGrid w:val="0"/>
      <w:sz w:val="24"/>
      <w:szCs w:val="20"/>
      <w:lang w:eastAsia="ru-RU"/>
    </w:rPr>
  </w:style>
  <w:style w:type="paragraph" w:styleId="5">
    <w:name w:val="heading 5"/>
    <w:basedOn w:val="a"/>
    <w:next w:val="a"/>
    <w:link w:val="50"/>
    <w:qFormat/>
    <w:rsid w:val="00483737"/>
    <w:pPr>
      <w:widowControl w:val="0"/>
      <w:numPr>
        <w:ilvl w:val="4"/>
        <w:numId w:val="1"/>
      </w:numPr>
      <w:spacing w:before="240" w:after="60" w:line="360" w:lineRule="atLeast"/>
      <w:jc w:val="both"/>
      <w:outlineLvl w:val="4"/>
    </w:pPr>
    <w:rPr>
      <w:rFonts w:ascii="Times New Roman" w:eastAsia="Times New Roman" w:hAnsi="Times New Roman" w:cs="Times New Roman"/>
      <w:snapToGrid w:val="0"/>
      <w:szCs w:val="20"/>
      <w:lang w:eastAsia="ru-RU"/>
    </w:rPr>
  </w:style>
  <w:style w:type="paragraph" w:styleId="6">
    <w:name w:val="heading 6"/>
    <w:basedOn w:val="a"/>
    <w:next w:val="a"/>
    <w:link w:val="60"/>
    <w:qFormat/>
    <w:rsid w:val="00483737"/>
    <w:pPr>
      <w:widowControl w:val="0"/>
      <w:numPr>
        <w:ilvl w:val="5"/>
        <w:numId w:val="1"/>
      </w:numPr>
      <w:spacing w:before="240" w:after="60" w:line="360" w:lineRule="atLeast"/>
      <w:jc w:val="both"/>
      <w:outlineLvl w:val="5"/>
    </w:pPr>
    <w:rPr>
      <w:rFonts w:ascii="Times New Roman" w:eastAsia="Times New Roman" w:hAnsi="Times New Roman" w:cs="Times New Roman"/>
      <w:i/>
      <w:snapToGrid w:val="0"/>
      <w:szCs w:val="20"/>
      <w:lang w:eastAsia="ru-RU"/>
    </w:rPr>
  </w:style>
  <w:style w:type="paragraph" w:styleId="7">
    <w:name w:val="heading 7"/>
    <w:basedOn w:val="a"/>
    <w:next w:val="a"/>
    <w:link w:val="70"/>
    <w:qFormat/>
    <w:rsid w:val="00483737"/>
    <w:pPr>
      <w:widowControl w:val="0"/>
      <w:numPr>
        <w:ilvl w:val="6"/>
        <w:numId w:val="1"/>
      </w:numPr>
      <w:spacing w:before="240" w:after="60" w:line="360" w:lineRule="atLeast"/>
      <w:jc w:val="both"/>
      <w:outlineLvl w:val="6"/>
    </w:pPr>
    <w:rPr>
      <w:rFonts w:ascii="Arial" w:eastAsia="Times New Roman" w:hAnsi="Arial" w:cs="Times New Roman"/>
      <w:snapToGrid w:val="0"/>
      <w:sz w:val="20"/>
      <w:szCs w:val="20"/>
      <w:lang w:eastAsia="ru-RU"/>
    </w:rPr>
  </w:style>
  <w:style w:type="paragraph" w:styleId="8">
    <w:name w:val="heading 8"/>
    <w:basedOn w:val="a"/>
    <w:next w:val="a"/>
    <w:link w:val="80"/>
    <w:qFormat/>
    <w:rsid w:val="00483737"/>
    <w:pPr>
      <w:widowControl w:val="0"/>
      <w:numPr>
        <w:ilvl w:val="7"/>
        <w:numId w:val="1"/>
      </w:numPr>
      <w:spacing w:before="240" w:after="60" w:line="360" w:lineRule="atLeast"/>
      <w:jc w:val="both"/>
      <w:outlineLvl w:val="7"/>
    </w:pPr>
    <w:rPr>
      <w:rFonts w:ascii="Arial" w:eastAsia="Times New Roman" w:hAnsi="Arial" w:cs="Times New Roman"/>
      <w:i/>
      <w:snapToGrid w:val="0"/>
      <w:sz w:val="20"/>
      <w:szCs w:val="20"/>
      <w:lang w:eastAsia="ru-RU"/>
    </w:rPr>
  </w:style>
  <w:style w:type="paragraph" w:styleId="9">
    <w:name w:val="heading 9"/>
    <w:basedOn w:val="a"/>
    <w:next w:val="a"/>
    <w:link w:val="90"/>
    <w:qFormat/>
    <w:rsid w:val="00483737"/>
    <w:pPr>
      <w:widowControl w:val="0"/>
      <w:numPr>
        <w:ilvl w:val="8"/>
        <w:numId w:val="1"/>
      </w:numPr>
      <w:spacing w:before="240" w:after="60" w:line="360" w:lineRule="atLeast"/>
      <w:jc w:val="both"/>
      <w:outlineLvl w:val="8"/>
    </w:pPr>
    <w:rPr>
      <w:rFonts w:ascii="Arial" w:eastAsia="Times New Roman" w:hAnsi="Arial" w:cs="Times New Roman"/>
      <w:b/>
      <w:i/>
      <w:snapToGrid w:val="0"/>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83737"/>
    <w:rPr>
      <w:rFonts w:ascii="Arial" w:eastAsia="Times New Roman" w:hAnsi="Arial" w:cs="Times New Roman"/>
      <w:snapToGrid w:val="0"/>
      <w:sz w:val="24"/>
      <w:szCs w:val="20"/>
      <w:lang w:eastAsia="ru-RU"/>
    </w:rPr>
  </w:style>
  <w:style w:type="character" w:customStyle="1" w:styleId="40">
    <w:name w:val="Заголовок 4 Знак"/>
    <w:basedOn w:val="a0"/>
    <w:link w:val="4"/>
    <w:rsid w:val="00483737"/>
    <w:rPr>
      <w:rFonts w:ascii="Arial" w:eastAsia="Times New Roman" w:hAnsi="Arial" w:cs="Times New Roman"/>
      <w:b/>
      <w:snapToGrid w:val="0"/>
      <w:sz w:val="24"/>
      <w:szCs w:val="20"/>
      <w:lang w:eastAsia="ru-RU"/>
    </w:rPr>
  </w:style>
  <w:style w:type="character" w:customStyle="1" w:styleId="50">
    <w:name w:val="Заголовок 5 Знак"/>
    <w:basedOn w:val="a0"/>
    <w:link w:val="5"/>
    <w:rsid w:val="00483737"/>
    <w:rPr>
      <w:rFonts w:ascii="Times New Roman" w:eastAsia="Times New Roman" w:hAnsi="Times New Roman" w:cs="Times New Roman"/>
      <w:snapToGrid w:val="0"/>
      <w:szCs w:val="20"/>
      <w:lang w:eastAsia="ru-RU"/>
    </w:rPr>
  </w:style>
  <w:style w:type="character" w:customStyle="1" w:styleId="60">
    <w:name w:val="Заголовок 6 Знак"/>
    <w:basedOn w:val="a0"/>
    <w:link w:val="6"/>
    <w:rsid w:val="00483737"/>
    <w:rPr>
      <w:rFonts w:ascii="Times New Roman" w:eastAsia="Times New Roman" w:hAnsi="Times New Roman" w:cs="Times New Roman"/>
      <w:i/>
      <w:snapToGrid w:val="0"/>
      <w:szCs w:val="20"/>
      <w:lang w:eastAsia="ru-RU"/>
    </w:rPr>
  </w:style>
  <w:style w:type="character" w:customStyle="1" w:styleId="70">
    <w:name w:val="Заголовок 7 Знак"/>
    <w:basedOn w:val="a0"/>
    <w:link w:val="7"/>
    <w:rsid w:val="00483737"/>
    <w:rPr>
      <w:rFonts w:ascii="Arial" w:eastAsia="Times New Roman" w:hAnsi="Arial" w:cs="Times New Roman"/>
      <w:snapToGrid w:val="0"/>
      <w:sz w:val="20"/>
      <w:szCs w:val="20"/>
      <w:lang w:eastAsia="ru-RU"/>
    </w:rPr>
  </w:style>
  <w:style w:type="character" w:customStyle="1" w:styleId="80">
    <w:name w:val="Заголовок 8 Знак"/>
    <w:basedOn w:val="a0"/>
    <w:link w:val="8"/>
    <w:rsid w:val="00483737"/>
    <w:rPr>
      <w:rFonts w:ascii="Arial" w:eastAsia="Times New Roman" w:hAnsi="Arial" w:cs="Times New Roman"/>
      <w:i/>
      <w:snapToGrid w:val="0"/>
      <w:sz w:val="20"/>
      <w:szCs w:val="20"/>
      <w:lang w:eastAsia="ru-RU"/>
    </w:rPr>
  </w:style>
  <w:style w:type="character" w:customStyle="1" w:styleId="90">
    <w:name w:val="Заголовок 9 Знак"/>
    <w:basedOn w:val="a0"/>
    <w:link w:val="9"/>
    <w:rsid w:val="00483737"/>
    <w:rPr>
      <w:rFonts w:ascii="Arial" w:eastAsia="Times New Roman" w:hAnsi="Arial" w:cs="Times New Roman"/>
      <w:b/>
      <w:i/>
      <w:snapToGrid w:val="0"/>
      <w:sz w:val="18"/>
      <w:szCs w:val="20"/>
      <w:lang w:eastAsia="ru-RU"/>
    </w:rPr>
  </w:style>
  <w:style w:type="paragraph" w:customStyle="1" w:styleId="-">
    <w:name w:val="Нормальный - Раздел"/>
    <w:basedOn w:val="a"/>
    <w:rsid w:val="00483737"/>
    <w:pPr>
      <w:keepNext/>
      <w:keepLines/>
      <w:numPr>
        <w:numId w:val="1"/>
      </w:numPr>
      <w:spacing w:before="240" w:after="120" w:line="360" w:lineRule="atLeast"/>
      <w:ind w:right="567"/>
      <w:jc w:val="center"/>
    </w:pPr>
    <w:rPr>
      <w:rFonts w:ascii="Times New Roman" w:eastAsia="Times New Roman" w:hAnsi="Times New Roman" w:cs="Times New Roman"/>
      <w:b/>
      <w:sz w:val="28"/>
      <w:szCs w:val="20"/>
      <w:lang w:eastAsia="ru-RU"/>
    </w:rPr>
  </w:style>
  <w:style w:type="paragraph" w:customStyle="1" w:styleId="-0">
    <w:name w:val="Нормальный - Подраздел"/>
    <w:basedOn w:val="a"/>
    <w:rsid w:val="00483737"/>
    <w:pPr>
      <w:numPr>
        <w:ilvl w:val="1"/>
        <w:numId w:val="1"/>
      </w:numPr>
      <w:spacing w:after="0" w:line="360" w:lineRule="atLeast"/>
      <w:jc w:val="both"/>
    </w:pPr>
    <w:rPr>
      <w:rFonts w:ascii="Times New Roman" w:eastAsia="Times New Roman" w:hAnsi="Times New Roman" w:cs="Times New Roman"/>
      <w:sz w:val="28"/>
      <w:szCs w:val="28"/>
      <w:lang w:eastAsia="ru-RU"/>
    </w:rPr>
  </w:style>
  <w:style w:type="table" w:styleId="a3">
    <w:name w:val="Table Grid"/>
    <w:basedOn w:val="a1"/>
    <w:uiPriority w:val="59"/>
    <w:rsid w:val="00483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4837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37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737"/>
  </w:style>
  <w:style w:type="paragraph" w:styleId="3">
    <w:name w:val="heading 3"/>
    <w:basedOn w:val="a"/>
    <w:next w:val="a"/>
    <w:link w:val="30"/>
    <w:qFormat/>
    <w:rsid w:val="00483737"/>
    <w:pPr>
      <w:keepNext/>
      <w:widowControl w:val="0"/>
      <w:numPr>
        <w:ilvl w:val="2"/>
        <w:numId w:val="1"/>
      </w:numPr>
      <w:spacing w:before="240" w:after="60" w:line="360" w:lineRule="atLeast"/>
      <w:jc w:val="both"/>
      <w:outlineLvl w:val="2"/>
    </w:pPr>
    <w:rPr>
      <w:rFonts w:ascii="Arial" w:eastAsia="Times New Roman" w:hAnsi="Arial" w:cs="Times New Roman"/>
      <w:snapToGrid w:val="0"/>
      <w:sz w:val="24"/>
      <w:szCs w:val="20"/>
      <w:lang w:eastAsia="ru-RU"/>
    </w:rPr>
  </w:style>
  <w:style w:type="paragraph" w:styleId="4">
    <w:name w:val="heading 4"/>
    <w:basedOn w:val="a"/>
    <w:next w:val="a"/>
    <w:link w:val="40"/>
    <w:qFormat/>
    <w:rsid w:val="00483737"/>
    <w:pPr>
      <w:keepNext/>
      <w:widowControl w:val="0"/>
      <w:numPr>
        <w:ilvl w:val="3"/>
        <w:numId w:val="1"/>
      </w:numPr>
      <w:spacing w:before="240" w:after="60" w:line="360" w:lineRule="atLeast"/>
      <w:jc w:val="both"/>
      <w:outlineLvl w:val="3"/>
    </w:pPr>
    <w:rPr>
      <w:rFonts w:ascii="Arial" w:eastAsia="Times New Roman" w:hAnsi="Arial" w:cs="Times New Roman"/>
      <w:b/>
      <w:snapToGrid w:val="0"/>
      <w:sz w:val="24"/>
      <w:szCs w:val="20"/>
      <w:lang w:eastAsia="ru-RU"/>
    </w:rPr>
  </w:style>
  <w:style w:type="paragraph" w:styleId="5">
    <w:name w:val="heading 5"/>
    <w:basedOn w:val="a"/>
    <w:next w:val="a"/>
    <w:link w:val="50"/>
    <w:qFormat/>
    <w:rsid w:val="00483737"/>
    <w:pPr>
      <w:widowControl w:val="0"/>
      <w:numPr>
        <w:ilvl w:val="4"/>
        <w:numId w:val="1"/>
      </w:numPr>
      <w:spacing w:before="240" w:after="60" w:line="360" w:lineRule="atLeast"/>
      <w:jc w:val="both"/>
      <w:outlineLvl w:val="4"/>
    </w:pPr>
    <w:rPr>
      <w:rFonts w:ascii="Times New Roman" w:eastAsia="Times New Roman" w:hAnsi="Times New Roman" w:cs="Times New Roman"/>
      <w:snapToGrid w:val="0"/>
      <w:szCs w:val="20"/>
      <w:lang w:eastAsia="ru-RU"/>
    </w:rPr>
  </w:style>
  <w:style w:type="paragraph" w:styleId="6">
    <w:name w:val="heading 6"/>
    <w:basedOn w:val="a"/>
    <w:next w:val="a"/>
    <w:link w:val="60"/>
    <w:qFormat/>
    <w:rsid w:val="00483737"/>
    <w:pPr>
      <w:widowControl w:val="0"/>
      <w:numPr>
        <w:ilvl w:val="5"/>
        <w:numId w:val="1"/>
      </w:numPr>
      <w:spacing w:before="240" w:after="60" w:line="360" w:lineRule="atLeast"/>
      <w:jc w:val="both"/>
      <w:outlineLvl w:val="5"/>
    </w:pPr>
    <w:rPr>
      <w:rFonts w:ascii="Times New Roman" w:eastAsia="Times New Roman" w:hAnsi="Times New Roman" w:cs="Times New Roman"/>
      <w:i/>
      <w:snapToGrid w:val="0"/>
      <w:szCs w:val="20"/>
      <w:lang w:eastAsia="ru-RU"/>
    </w:rPr>
  </w:style>
  <w:style w:type="paragraph" w:styleId="7">
    <w:name w:val="heading 7"/>
    <w:basedOn w:val="a"/>
    <w:next w:val="a"/>
    <w:link w:val="70"/>
    <w:qFormat/>
    <w:rsid w:val="00483737"/>
    <w:pPr>
      <w:widowControl w:val="0"/>
      <w:numPr>
        <w:ilvl w:val="6"/>
        <w:numId w:val="1"/>
      </w:numPr>
      <w:spacing w:before="240" w:after="60" w:line="360" w:lineRule="atLeast"/>
      <w:jc w:val="both"/>
      <w:outlineLvl w:val="6"/>
    </w:pPr>
    <w:rPr>
      <w:rFonts w:ascii="Arial" w:eastAsia="Times New Roman" w:hAnsi="Arial" w:cs="Times New Roman"/>
      <w:snapToGrid w:val="0"/>
      <w:sz w:val="20"/>
      <w:szCs w:val="20"/>
      <w:lang w:eastAsia="ru-RU"/>
    </w:rPr>
  </w:style>
  <w:style w:type="paragraph" w:styleId="8">
    <w:name w:val="heading 8"/>
    <w:basedOn w:val="a"/>
    <w:next w:val="a"/>
    <w:link w:val="80"/>
    <w:qFormat/>
    <w:rsid w:val="00483737"/>
    <w:pPr>
      <w:widowControl w:val="0"/>
      <w:numPr>
        <w:ilvl w:val="7"/>
        <w:numId w:val="1"/>
      </w:numPr>
      <w:spacing w:before="240" w:after="60" w:line="360" w:lineRule="atLeast"/>
      <w:jc w:val="both"/>
      <w:outlineLvl w:val="7"/>
    </w:pPr>
    <w:rPr>
      <w:rFonts w:ascii="Arial" w:eastAsia="Times New Roman" w:hAnsi="Arial" w:cs="Times New Roman"/>
      <w:i/>
      <w:snapToGrid w:val="0"/>
      <w:sz w:val="20"/>
      <w:szCs w:val="20"/>
      <w:lang w:eastAsia="ru-RU"/>
    </w:rPr>
  </w:style>
  <w:style w:type="paragraph" w:styleId="9">
    <w:name w:val="heading 9"/>
    <w:basedOn w:val="a"/>
    <w:next w:val="a"/>
    <w:link w:val="90"/>
    <w:qFormat/>
    <w:rsid w:val="00483737"/>
    <w:pPr>
      <w:widowControl w:val="0"/>
      <w:numPr>
        <w:ilvl w:val="8"/>
        <w:numId w:val="1"/>
      </w:numPr>
      <w:spacing w:before="240" w:after="60" w:line="360" w:lineRule="atLeast"/>
      <w:jc w:val="both"/>
      <w:outlineLvl w:val="8"/>
    </w:pPr>
    <w:rPr>
      <w:rFonts w:ascii="Arial" w:eastAsia="Times New Roman" w:hAnsi="Arial" w:cs="Times New Roman"/>
      <w:b/>
      <w:i/>
      <w:snapToGrid w:val="0"/>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83737"/>
    <w:rPr>
      <w:rFonts w:ascii="Arial" w:eastAsia="Times New Roman" w:hAnsi="Arial" w:cs="Times New Roman"/>
      <w:snapToGrid w:val="0"/>
      <w:sz w:val="24"/>
      <w:szCs w:val="20"/>
      <w:lang w:eastAsia="ru-RU"/>
    </w:rPr>
  </w:style>
  <w:style w:type="character" w:customStyle="1" w:styleId="40">
    <w:name w:val="Заголовок 4 Знак"/>
    <w:basedOn w:val="a0"/>
    <w:link w:val="4"/>
    <w:rsid w:val="00483737"/>
    <w:rPr>
      <w:rFonts w:ascii="Arial" w:eastAsia="Times New Roman" w:hAnsi="Arial" w:cs="Times New Roman"/>
      <w:b/>
      <w:snapToGrid w:val="0"/>
      <w:sz w:val="24"/>
      <w:szCs w:val="20"/>
      <w:lang w:eastAsia="ru-RU"/>
    </w:rPr>
  </w:style>
  <w:style w:type="character" w:customStyle="1" w:styleId="50">
    <w:name w:val="Заголовок 5 Знак"/>
    <w:basedOn w:val="a0"/>
    <w:link w:val="5"/>
    <w:rsid w:val="00483737"/>
    <w:rPr>
      <w:rFonts w:ascii="Times New Roman" w:eastAsia="Times New Roman" w:hAnsi="Times New Roman" w:cs="Times New Roman"/>
      <w:snapToGrid w:val="0"/>
      <w:szCs w:val="20"/>
      <w:lang w:eastAsia="ru-RU"/>
    </w:rPr>
  </w:style>
  <w:style w:type="character" w:customStyle="1" w:styleId="60">
    <w:name w:val="Заголовок 6 Знак"/>
    <w:basedOn w:val="a0"/>
    <w:link w:val="6"/>
    <w:rsid w:val="00483737"/>
    <w:rPr>
      <w:rFonts w:ascii="Times New Roman" w:eastAsia="Times New Roman" w:hAnsi="Times New Roman" w:cs="Times New Roman"/>
      <w:i/>
      <w:snapToGrid w:val="0"/>
      <w:szCs w:val="20"/>
      <w:lang w:eastAsia="ru-RU"/>
    </w:rPr>
  </w:style>
  <w:style w:type="character" w:customStyle="1" w:styleId="70">
    <w:name w:val="Заголовок 7 Знак"/>
    <w:basedOn w:val="a0"/>
    <w:link w:val="7"/>
    <w:rsid w:val="00483737"/>
    <w:rPr>
      <w:rFonts w:ascii="Arial" w:eastAsia="Times New Roman" w:hAnsi="Arial" w:cs="Times New Roman"/>
      <w:snapToGrid w:val="0"/>
      <w:sz w:val="20"/>
      <w:szCs w:val="20"/>
      <w:lang w:eastAsia="ru-RU"/>
    </w:rPr>
  </w:style>
  <w:style w:type="character" w:customStyle="1" w:styleId="80">
    <w:name w:val="Заголовок 8 Знак"/>
    <w:basedOn w:val="a0"/>
    <w:link w:val="8"/>
    <w:rsid w:val="00483737"/>
    <w:rPr>
      <w:rFonts w:ascii="Arial" w:eastAsia="Times New Roman" w:hAnsi="Arial" w:cs="Times New Roman"/>
      <w:i/>
      <w:snapToGrid w:val="0"/>
      <w:sz w:val="20"/>
      <w:szCs w:val="20"/>
      <w:lang w:eastAsia="ru-RU"/>
    </w:rPr>
  </w:style>
  <w:style w:type="character" w:customStyle="1" w:styleId="90">
    <w:name w:val="Заголовок 9 Знак"/>
    <w:basedOn w:val="a0"/>
    <w:link w:val="9"/>
    <w:rsid w:val="00483737"/>
    <w:rPr>
      <w:rFonts w:ascii="Arial" w:eastAsia="Times New Roman" w:hAnsi="Arial" w:cs="Times New Roman"/>
      <w:b/>
      <w:i/>
      <w:snapToGrid w:val="0"/>
      <w:sz w:val="18"/>
      <w:szCs w:val="20"/>
      <w:lang w:eastAsia="ru-RU"/>
    </w:rPr>
  </w:style>
  <w:style w:type="paragraph" w:customStyle="1" w:styleId="-">
    <w:name w:val="Нормальный - Раздел"/>
    <w:basedOn w:val="a"/>
    <w:rsid w:val="00483737"/>
    <w:pPr>
      <w:keepNext/>
      <w:keepLines/>
      <w:numPr>
        <w:numId w:val="1"/>
      </w:numPr>
      <w:spacing w:before="240" w:after="120" w:line="360" w:lineRule="atLeast"/>
      <w:ind w:right="567"/>
      <w:jc w:val="center"/>
    </w:pPr>
    <w:rPr>
      <w:rFonts w:ascii="Times New Roman" w:eastAsia="Times New Roman" w:hAnsi="Times New Roman" w:cs="Times New Roman"/>
      <w:b/>
      <w:sz w:val="28"/>
      <w:szCs w:val="20"/>
      <w:lang w:eastAsia="ru-RU"/>
    </w:rPr>
  </w:style>
  <w:style w:type="paragraph" w:customStyle="1" w:styleId="-0">
    <w:name w:val="Нормальный - Подраздел"/>
    <w:basedOn w:val="a"/>
    <w:rsid w:val="00483737"/>
    <w:pPr>
      <w:numPr>
        <w:ilvl w:val="1"/>
        <w:numId w:val="1"/>
      </w:numPr>
      <w:spacing w:after="0" w:line="360" w:lineRule="atLeast"/>
      <w:jc w:val="both"/>
    </w:pPr>
    <w:rPr>
      <w:rFonts w:ascii="Times New Roman" w:eastAsia="Times New Roman" w:hAnsi="Times New Roman" w:cs="Times New Roman"/>
      <w:sz w:val="28"/>
      <w:szCs w:val="28"/>
      <w:lang w:eastAsia="ru-RU"/>
    </w:rPr>
  </w:style>
  <w:style w:type="table" w:styleId="a3">
    <w:name w:val="Table Grid"/>
    <w:basedOn w:val="a1"/>
    <w:uiPriority w:val="59"/>
    <w:rsid w:val="00483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4837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37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2159</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1</cp:revision>
  <dcterms:created xsi:type="dcterms:W3CDTF">2018-03-21T08:05:00Z</dcterms:created>
  <dcterms:modified xsi:type="dcterms:W3CDTF">2018-03-21T08:09:00Z</dcterms:modified>
</cp:coreProperties>
</file>